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7163" w14:textId="77777777" w:rsidR="009C4439" w:rsidRDefault="004954BC">
      <w:pPr>
        <w:pStyle w:val="Titel"/>
      </w:pPr>
      <w:r>
        <w:t>Title: Identify the report as a protocol of a systematic review (If the protocol is for an update of a previous systematic review, identify it as such)</w:t>
      </w:r>
    </w:p>
    <w:p w14:paraId="2E71A175" w14:textId="77777777" w:rsidR="009C4439" w:rsidRDefault="004954BC">
      <w:pPr>
        <w:pStyle w:val="Author"/>
      </w:pPr>
      <w:r>
        <w:rPr>
          <w:b/>
          <w:bCs/>
        </w:rPr>
        <w:t>Unnamed author 1</w:t>
      </w:r>
      <w:r>
        <w:br/>
        <w:t>tanya.karrer@unibe.ch</w:t>
      </w:r>
    </w:p>
    <w:p w14:paraId="584BCBB6" w14:textId="77777777" w:rsidR="009C4439" w:rsidRDefault="004954BC">
      <w:pPr>
        <w:pStyle w:val="berschrift1"/>
      </w:pPr>
      <w:bookmarkStart w:id="0" w:name="X39c3c9b1e5e1f070c1d529983da2a92ae731b25"/>
      <w:r>
        <w:t>Note (delete this chapter if no longer needed)</w:t>
      </w:r>
    </w:p>
    <w:p w14:paraId="6ED2E685" w14:textId="77777777" w:rsidR="009C4439" w:rsidRDefault="004954BC">
      <w:pPr>
        <w:pStyle w:val="FirstParagraph"/>
      </w:pPr>
      <w:r>
        <w:t>This template is based on:</w:t>
      </w:r>
    </w:p>
    <w:p w14:paraId="2BE2819E" w14:textId="77777777" w:rsidR="009C4439" w:rsidRDefault="004954BC">
      <w:pPr>
        <w:pStyle w:val="Textkrper"/>
      </w:pPr>
      <w:r>
        <w:t xml:space="preserve">Moher, D., </w:t>
      </w:r>
      <w:proofErr w:type="spellStart"/>
      <w:r>
        <w:t>Shamseer</w:t>
      </w:r>
      <w:proofErr w:type="spellEnd"/>
      <w:r>
        <w:t xml:space="preserve">, L., Clarke, M. </w:t>
      </w:r>
      <w:r>
        <w:rPr>
          <w:i/>
          <w:iCs/>
        </w:rPr>
        <w:t>et</w:t>
      </w:r>
      <w:r>
        <w:t xml:space="preserve"> </w:t>
      </w:r>
      <w:r>
        <w:rPr>
          <w:i/>
          <w:iCs/>
        </w:rPr>
        <w:t>al.</w:t>
      </w:r>
      <w:r>
        <w:t xml:space="preserve"> Preferred reporting items for systematic review and meta-analysis protocols (PRISMA-P) 2015 statement. </w:t>
      </w:r>
      <w:r>
        <w:rPr>
          <w:i/>
          <w:iCs/>
        </w:rPr>
        <w:t>Syst</w:t>
      </w:r>
      <w:r>
        <w:t xml:space="preserve"> </w:t>
      </w:r>
      <w:r>
        <w:rPr>
          <w:i/>
          <w:iCs/>
        </w:rPr>
        <w:t>Rev</w:t>
      </w:r>
      <w:r>
        <w:t xml:space="preserve"> </w:t>
      </w:r>
      <w:r>
        <w:rPr>
          <w:b/>
          <w:bCs/>
        </w:rPr>
        <w:t>4</w:t>
      </w:r>
      <w:r>
        <w:t xml:space="preserve">, 1 (2015). </w:t>
      </w:r>
      <w:hyperlink r:id="rId7">
        <w:r>
          <w:rPr>
            <w:rStyle w:val="Hyperlink"/>
          </w:rPr>
          <w:t>https://doi.org/10.1186/2046-4053-4-1</w:t>
        </w:r>
      </w:hyperlink>
    </w:p>
    <w:p w14:paraId="2B934345" w14:textId="77777777" w:rsidR="009C4439" w:rsidRDefault="004954BC">
      <w:pPr>
        <w:pStyle w:val="Textkrper"/>
      </w:pPr>
      <w:r>
        <w:t>Elaborations are provided here:</w:t>
      </w:r>
    </w:p>
    <w:p w14:paraId="4B8882BC" w14:textId="77777777" w:rsidR="009C4439" w:rsidRDefault="004954BC">
      <w:pPr>
        <w:pStyle w:val="Textkrper"/>
      </w:pPr>
      <w:proofErr w:type="spellStart"/>
      <w:r>
        <w:t>Shamseer</w:t>
      </w:r>
      <w:proofErr w:type="spellEnd"/>
      <w:r>
        <w:t xml:space="preserve">, L., Moher, D., Clarke, M., Ghersi, D., Liberati, A., Petticrew, M., </w:t>
      </w:r>
      <w:proofErr w:type="spellStart"/>
      <w:r>
        <w:t>Shekelle</w:t>
      </w:r>
      <w:proofErr w:type="spellEnd"/>
      <w:r>
        <w:t>, P., Stewart, L.A., PRI</w:t>
      </w:r>
      <w:r>
        <w:t>SMA-P Group: Preferred reporting items for systematic review and meta-analysis protocols (PRISMA-P) 2015: elaboration &amp; explanation. BMJ 2015, 349:g7647. </w:t>
      </w:r>
      <w:hyperlink r:id="rId8">
        <w:r>
          <w:rPr>
            <w:rStyle w:val="Hyperlink"/>
          </w:rPr>
          <w:t>https://www.bmj.com/content/bm</w:t>
        </w:r>
        <w:r>
          <w:rPr>
            <w:rStyle w:val="Hyperlink"/>
          </w:rPr>
          <w:t>j/349/bmj.g7647.full.pdf</w:t>
        </w:r>
      </w:hyperlink>
    </w:p>
    <w:p w14:paraId="4F0C49E0" w14:textId="77777777" w:rsidR="009C4439" w:rsidRDefault="004954BC">
      <w:pPr>
        <w:pStyle w:val="Textkrper"/>
      </w:pPr>
      <w:r>
        <w:t xml:space="preserve">You can find a corresponding checklist </w:t>
      </w:r>
      <w:hyperlink r:id="rId9">
        <w:r>
          <w:rPr>
            <w:rStyle w:val="Hyperlink"/>
          </w:rPr>
          <w:t>here</w:t>
        </w:r>
      </w:hyperlink>
      <w:r>
        <w:t>.</w:t>
      </w:r>
    </w:p>
    <w:p w14:paraId="257AFF94" w14:textId="77777777" w:rsidR="009C4439" w:rsidRDefault="004954BC">
      <w:pPr>
        <w:pStyle w:val="berschrift1"/>
      </w:pPr>
      <w:bookmarkStart w:id="1" w:name="X315fb0f03850343b7493e419aeac0df357534cc"/>
      <w:bookmarkEnd w:id="0"/>
      <w:r>
        <w:t>Registr</w:t>
      </w:r>
      <w:r>
        <w:t>ation</w:t>
      </w:r>
    </w:p>
    <w:p w14:paraId="7AAB8523" w14:textId="77777777" w:rsidR="009C4439" w:rsidRDefault="004954BC">
      <w:pPr>
        <w:pStyle w:val="FirstParagraph"/>
      </w:pPr>
      <w:r>
        <w:t>If registered, provide the name of the registry (e.g., PROSPERO) and registration number.</w:t>
      </w:r>
    </w:p>
    <w:p w14:paraId="211F8EA5" w14:textId="77777777" w:rsidR="009C4439" w:rsidRDefault="004954BC">
      <w:pPr>
        <w:pStyle w:val="berschrift1"/>
      </w:pPr>
      <w:bookmarkStart w:id="2" w:name="Xda485e67284aa3d889df35de1503c6317f641d2"/>
      <w:bookmarkEnd w:id="1"/>
      <w:r>
        <w:t>Author Contributions</w:t>
      </w:r>
    </w:p>
    <w:p w14:paraId="52B01E64" w14:textId="77777777" w:rsidR="009C4439" w:rsidRDefault="004954BC">
      <w:pPr>
        <w:pStyle w:val="FirstParagraph"/>
      </w:pPr>
      <w:r>
        <w:t>Describe the contributions of protocol authors and identify the guarantor of the review.</w:t>
      </w:r>
    </w:p>
    <w:p w14:paraId="498AC2FC" w14:textId="77777777" w:rsidR="009C4439" w:rsidRDefault="004954BC">
      <w:pPr>
        <w:pStyle w:val="berschrift1"/>
      </w:pPr>
      <w:bookmarkStart w:id="3" w:name="X74a08be5aaab7d9ce09248d6143d51bacaceb6a"/>
      <w:bookmarkEnd w:id="2"/>
      <w:r>
        <w:t>Amendments</w:t>
      </w:r>
    </w:p>
    <w:p w14:paraId="6B672386" w14:textId="77777777" w:rsidR="009C4439" w:rsidRDefault="004954BC">
      <w:pPr>
        <w:pStyle w:val="FirstParagraph"/>
      </w:pPr>
      <w:r>
        <w:t>If the protocol represents an amendment</w:t>
      </w:r>
      <w:r>
        <w:t xml:space="preserve"> of a previously completed or published protocol, identify it as such and list changes; otherwise, state a plan for documenting important protocol amendments.</w:t>
      </w:r>
    </w:p>
    <w:p w14:paraId="6ECAADAF" w14:textId="77777777" w:rsidR="009C4439" w:rsidRDefault="004954BC">
      <w:pPr>
        <w:pStyle w:val="berschrift1"/>
      </w:pPr>
      <w:bookmarkStart w:id="4" w:name="X5818793fc0d5fd26ddcbbf5de5d0f24238cd829"/>
      <w:bookmarkEnd w:id="3"/>
      <w:r>
        <w:lastRenderedPageBreak/>
        <w:t>Support</w:t>
      </w:r>
    </w:p>
    <w:p w14:paraId="707602E4" w14:textId="77777777" w:rsidR="009C4439" w:rsidRDefault="004954BC">
      <w:pPr>
        <w:pStyle w:val="berschrift2"/>
      </w:pPr>
      <w:r>
        <w:t>Sources</w:t>
      </w:r>
    </w:p>
    <w:p w14:paraId="7A59C974" w14:textId="77777777" w:rsidR="009C4439" w:rsidRDefault="004954BC">
      <w:pPr>
        <w:pStyle w:val="FirstParagraph"/>
      </w:pPr>
      <w:r>
        <w:t>Indicate sources of financial or other support for the review.</w:t>
      </w:r>
    </w:p>
    <w:p w14:paraId="6192653E" w14:textId="77777777" w:rsidR="009C4439" w:rsidRDefault="004954BC">
      <w:pPr>
        <w:pStyle w:val="berschrift2"/>
      </w:pPr>
      <w:r>
        <w:t>Sponsor</w:t>
      </w:r>
    </w:p>
    <w:p w14:paraId="4842F056" w14:textId="77777777" w:rsidR="009C4439" w:rsidRDefault="004954BC">
      <w:pPr>
        <w:pStyle w:val="FirstParagraph"/>
      </w:pPr>
      <w:r>
        <w:t>Provide th</w:t>
      </w:r>
      <w:r>
        <w:t>e name of the review funder and/or sponsor.</w:t>
      </w:r>
    </w:p>
    <w:p w14:paraId="4B0AF3E6" w14:textId="77777777" w:rsidR="009C4439" w:rsidRDefault="004954BC">
      <w:pPr>
        <w:pStyle w:val="berschrift2"/>
      </w:pPr>
      <w:r>
        <w:t>Role of sponsor/funder</w:t>
      </w:r>
    </w:p>
    <w:p w14:paraId="7E3BA487" w14:textId="77777777" w:rsidR="009C4439" w:rsidRDefault="004954BC">
      <w:pPr>
        <w:pStyle w:val="FirstParagraph"/>
      </w:pPr>
      <w:r>
        <w:t>Describe the roles of funder(s), sponsor(s), and/or institution(s), if any, in developing the protocol.</w:t>
      </w:r>
    </w:p>
    <w:p w14:paraId="5123D769" w14:textId="77777777" w:rsidR="009C4439" w:rsidRDefault="004954BC">
      <w:pPr>
        <w:pStyle w:val="berschrift1"/>
      </w:pPr>
      <w:bookmarkStart w:id="5" w:name="X4467ba4caf592e3d5cfda59a12bb675fe39db18"/>
      <w:bookmarkEnd w:id="4"/>
      <w:r>
        <w:t>Abstract</w:t>
      </w:r>
    </w:p>
    <w:p w14:paraId="670BC776" w14:textId="77777777" w:rsidR="009C4439" w:rsidRDefault="004954BC">
      <w:pPr>
        <w:pStyle w:val="FirstParagraph"/>
      </w:pPr>
      <w:r>
        <w:t>If applicable.</w:t>
      </w:r>
    </w:p>
    <w:p w14:paraId="49EFDE6C" w14:textId="77777777" w:rsidR="009C4439" w:rsidRDefault="004954BC">
      <w:pPr>
        <w:pStyle w:val="Textkrper"/>
      </w:pPr>
      <w:r>
        <w:t xml:space="preserve">Find further assistance for the abstract section </w:t>
      </w:r>
      <w:hyperlink r:id="rId10">
        <w:r>
          <w:rPr>
            <w:rStyle w:val="Hyperlink"/>
          </w:rPr>
          <w:t>here</w:t>
        </w:r>
      </w:hyperlink>
      <w:r>
        <w:t>.</w:t>
      </w:r>
    </w:p>
    <w:p w14:paraId="1234A5EF" w14:textId="77777777" w:rsidR="009C4439" w:rsidRDefault="004954BC">
      <w:pPr>
        <w:pStyle w:val="berschrift1"/>
      </w:pPr>
      <w:bookmarkStart w:id="6" w:name="sec:cgut92anjgtb"/>
      <w:bookmarkStart w:id="7" w:name="Xea211505501ad1a177c5862578274c73d367c81"/>
      <w:bookmarkEnd w:id="5"/>
      <w:r>
        <w:t>Introduction</w:t>
      </w:r>
    </w:p>
    <w:p w14:paraId="08CE8D5B" w14:textId="77777777" w:rsidR="009C4439" w:rsidRDefault="004954BC">
      <w:pPr>
        <w:pStyle w:val="berschrift2"/>
      </w:pPr>
      <w:bookmarkStart w:id="8" w:name="sec:phxlmdeezen"/>
      <w:r>
        <w:t>Rationale</w:t>
      </w:r>
    </w:p>
    <w:p w14:paraId="77119321" w14:textId="77777777" w:rsidR="009C4439" w:rsidRDefault="004954BC">
      <w:pPr>
        <w:pStyle w:val="FirstParagraph"/>
      </w:pPr>
      <w:r>
        <w:t>Describe the rationale for the review in the context of what is already known.</w:t>
      </w:r>
    </w:p>
    <w:p w14:paraId="7846463B" w14:textId="77777777" w:rsidR="009C4439" w:rsidRDefault="004954BC">
      <w:pPr>
        <w:pStyle w:val="berschrift2"/>
      </w:pPr>
      <w:bookmarkStart w:id="9" w:name="sec:ebcwsv661u3t"/>
      <w:bookmarkEnd w:id="8"/>
      <w:r>
        <w:t>Objectives</w:t>
      </w:r>
    </w:p>
    <w:p w14:paraId="3B013F58" w14:textId="77777777" w:rsidR="009C4439" w:rsidRDefault="004954BC">
      <w:pPr>
        <w:pStyle w:val="FirstParagraph"/>
      </w:pPr>
      <w:r>
        <w:t>Provide an explicit statement of the question(s) the review will address with reference to participants, interventions, comparators, and outcomes (PICO).</w:t>
      </w:r>
    </w:p>
    <w:p w14:paraId="39E7DAD3" w14:textId="77777777" w:rsidR="009C4439" w:rsidRDefault="004954BC">
      <w:pPr>
        <w:pStyle w:val="berschrift1"/>
      </w:pPr>
      <w:bookmarkStart w:id="10" w:name="sec:hjqulfxi8e1"/>
      <w:bookmarkStart w:id="11" w:name="Xa0b95bfde888c05b0b65e9fabe2bee0d9736808"/>
      <w:bookmarkEnd w:id="9"/>
      <w:bookmarkEnd w:id="6"/>
      <w:bookmarkEnd w:id="7"/>
      <w:r>
        <w:t>Material and Methods</w:t>
      </w:r>
    </w:p>
    <w:p w14:paraId="0EC2B1EA" w14:textId="77777777" w:rsidR="009C4439" w:rsidRDefault="004954BC">
      <w:pPr>
        <w:pStyle w:val="berschrift2"/>
      </w:pPr>
      <w:bookmarkStart w:id="12" w:name="sec:f9i91u9jywx"/>
      <w:r>
        <w:t>Eligibility criteria</w:t>
      </w:r>
    </w:p>
    <w:p w14:paraId="5E3008A4" w14:textId="77777777" w:rsidR="009C4439" w:rsidRDefault="004954BC">
      <w:pPr>
        <w:pStyle w:val="FirstParagraph"/>
      </w:pPr>
      <w:r>
        <w:t>Specify the study characteristics (e.g., PICO, study design,</w:t>
      </w:r>
      <w:r>
        <w:t xml:space="preserve"> setting, time frame) and report characteristics (e.g., years considered, language, publication status) to be used as criteria for eligibility for the review.</w:t>
      </w:r>
    </w:p>
    <w:p w14:paraId="73C862FA" w14:textId="77777777" w:rsidR="009C4439" w:rsidRDefault="004954BC">
      <w:pPr>
        <w:pStyle w:val="berschrift2"/>
      </w:pPr>
      <w:bookmarkStart w:id="13" w:name="sec:gvqvamwo832"/>
      <w:bookmarkEnd w:id="12"/>
      <w:r>
        <w:t>Information sources</w:t>
      </w:r>
    </w:p>
    <w:p w14:paraId="698A0422" w14:textId="77777777" w:rsidR="009C4439" w:rsidRDefault="004954BC">
      <w:pPr>
        <w:pStyle w:val="FirstParagraph"/>
      </w:pPr>
      <w:r>
        <w:t>Describe all intended information sources (e.g., electronic databases, contac</w:t>
      </w:r>
      <w:r>
        <w:t>t with study authors, trial registers, or other grey literature sources) with planned dates of coverage.</w:t>
      </w:r>
    </w:p>
    <w:p w14:paraId="6ECD7B2B" w14:textId="77777777" w:rsidR="009C4439" w:rsidRDefault="004954BC">
      <w:pPr>
        <w:pStyle w:val="berschrift2"/>
      </w:pPr>
      <w:bookmarkStart w:id="14" w:name="sec:f0ualfel1h4mg"/>
      <w:bookmarkEnd w:id="13"/>
      <w:r>
        <w:t>Search strategy</w:t>
      </w:r>
    </w:p>
    <w:p w14:paraId="5BFB1343" w14:textId="77777777" w:rsidR="009C4439" w:rsidRDefault="004954BC">
      <w:pPr>
        <w:pStyle w:val="FirstParagraph"/>
      </w:pPr>
      <w:r>
        <w:t>Present a draft of the search strategy to be used for at least one electronic database, including planned limits, such that it could be</w:t>
      </w:r>
      <w:r>
        <w:t xml:space="preserve"> repeated.</w:t>
      </w:r>
    </w:p>
    <w:p w14:paraId="4A1EC7E2" w14:textId="77777777" w:rsidR="009C4439" w:rsidRDefault="004954BC">
      <w:pPr>
        <w:pStyle w:val="berschrift2"/>
      </w:pPr>
      <w:bookmarkStart w:id="15" w:name="sec:g2puo7emwlmq"/>
      <w:bookmarkEnd w:id="14"/>
      <w:r>
        <w:lastRenderedPageBreak/>
        <w:t>Study records</w:t>
      </w:r>
    </w:p>
    <w:p w14:paraId="19E6FB13" w14:textId="77777777" w:rsidR="009C4439" w:rsidRDefault="004954BC">
      <w:pPr>
        <w:pStyle w:val="berschrift3"/>
      </w:pPr>
      <w:bookmarkStart w:id="16" w:name="sec:pvz4fy0ipnwi"/>
      <w:r>
        <w:t>Data management</w:t>
      </w:r>
    </w:p>
    <w:p w14:paraId="4D3AD6CD" w14:textId="77777777" w:rsidR="009C4439" w:rsidRDefault="004954BC">
      <w:pPr>
        <w:pStyle w:val="FirstParagraph"/>
      </w:pPr>
      <w:r>
        <w:t>Describe the mechanism(s) that will be used to manage records and data throughout the review.</w:t>
      </w:r>
    </w:p>
    <w:p w14:paraId="654F5A93" w14:textId="77777777" w:rsidR="009C4439" w:rsidRDefault="004954BC">
      <w:pPr>
        <w:pStyle w:val="berschrift3"/>
      </w:pPr>
      <w:bookmarkStart w:id="17" w:name="sec:f0rd33l9kotq"/>
      <w:bookmarkEnd w:id="16"/>
      <w:r>
        <w:t>Selection process</w:t>
      </w:r>
    </w:p>
    <w:p w14:paraId="3052AD05" w14:textId="77777777" w:rsidR="009C4439" w:rsidRDefault="004954BC">
      <w:pPr>
        <w:pStyle w:val="FirstParagraph"/>
      </w:pPr>
      <w:r>
        <w:t>State the process that will be used for selecting studies (e.g., two independent reviewers) through eac</w:t>
      </w:r>
      <w:r>
        <w:t>h phase of the review (i.e., screening, eligibility, and inclusion in meta-analysis).</w:t>
      </w:r>
    </w:p>
    <w:p w14:paraId="6EC456B4" w14:textId="77777777" w:rsidR="009C4439" w:rsidRDefault="004954BC">
      <w:pPr>
        <w:pStyle w:val="berschrift3"/>
      </w:pPr>
      <w:bookmarkStart w:id="18" w:name="sec:ugdjm4t9y90q"/>
      <w:bookmarkEnd w:id="17"/>
      <w:r>
        <w:t>Data collection process</w:t>
      </w:r>
    </w:p>
    <w:p w14:paraId="7D3F38F0" w14:textId="77777777" w:rsidR="009C4439" w:rsidRDefault="004954BC">
      <w:pPr>
        <w:pStyle w:val="FirstParagraph"/>
      </w:pPr>
      <w:r>
        <w:t>Describe the planned method of extracting data from reports (e.g., piloting forms, done independently, in duplicate), and any processes for obtain</w:t>
      </w:r>
      <w:r>
        <w:t>ing and confirming data from investigators.</w:t>
      </w:r>
    </w:p>
    <w:p w14:paraId="7D7851A2" w14:textId="77777777" w:rsidR="009C4439" w:rsidRDefault="004954BC">
      <w:pPr>
        <w:pStyle w:val="berschrift2"/>
      </w:pPr>
      <w:bookmarkStart w:id="19" w:name="sec:xz9rkldire6t"/>
      <w:bookmarkEnd w:id="18"/>
      <w:bookmarkEnd w:id="15"/>
      <w:r>
        <w:t>Data items</w:t>
      </w:r>
    </w:p>
    <w:p w14:paraId="0BE0BD33" w14:textId="77777777" w:rsidR="009C4439" w:rsidRDefault="004954BC">
      <w:pPr>
        <w:pStyle w:val="FirstParagraph"/>
      </w:pPr>
      <w:r>
        <w:t>List and define all variables for which data will be sought (e.g., PICO items, funding sources), any pre-planned data assumptions, and simplifications.</w:t>
      </w:r>
    </w:p>
    <w:p w14:paraId="47C6FF0E" w14:textId="77777777" w:rsidR="009C4439" w:rsidRDefault="004954BC">
      <w:pPr>
        <w:pStyle w:val="berschrift2"/>
      </w:pPr>
      <w:bookmarkStart w:id="20" w:name="sec:jhuo0jb2chws"/>
      <w:bookmarkEnd w:id="19"/>
      <w:r>
        <w:t>Outcomes and prioritization</w:t>
      </w:r>
    </w:p>
    <w:p w14:paraId="38339866" w14:textId="77777777" w:rsidR="009C4439" w:rsidRDefault="004954BC">
      <w:pPr>
        <w:pStyle w:val="FirstParagraph"/>
      </w:pPr>
      <w:r>
        <w:t>List and define all o</w:t>
      </w:r>
      <w:r>
        <w:t>utcomes for which data will be sought, including prioritization of main and additional outcomes, with rationale.</w:t>
      </w:r>
    </w:p>
    <w:p w14:paraId="2E6A5281" w14:textId="77777777" w:rsidR="009C4439" w:rsidRDefault="004954BC">
      <w:pPr>
        <w:pStyle w:val="berschrift2"/>
      </w:pPr>
      <w:bookmarkStart w:id="21" w:name="sec:xom0hk701a6"/>
      <w:bookmarkEnd w:id="20"/>
      <w:r>
        <w:t>Risk of bias in individual studies</w:t>
      </w:r>
    </w:p>
    <w:p w14:paraId="3FEBE359" w14:textId="77777777" w:rsidR="009C4439" w:rsidRDefault="004954BC">
      <w:pPr>
        <w:pStyle w:val="FirstParagraph"/>
      </w:pPr>
      <w:r>
        <w:t>Describe anticipated methods for assessing the risk of bias of individual studies, including whether this wi</w:t>
      </w:r>
      <w:r>
        <w:t>ll be done at the outcome or study level, or both; state how this information will be used in data synthesis.</w:t>
      </w:r>
    </w:p>
    <w:p w14:paraId="577DA7EB" w14:textId="77777777" w:rsidR="009C4439" w:rsidRDefault="004954BC">
      <w:pPr>
        <w:pStyle w:val="berschrift1"/>
      </w:pPr>
      <w:bookmarkStart w:id="22" w:name="sec:sw9gc5812kr8"/>
      <w:bookmarkStart w:id="23" w:name="X925c6272a6ad1b6638e12c5bbfa203f4457308a"/>
      <w:bookmarkEnd w:id="21"/>
      <w:bookmarkEnd w:id="10"/>
      <w:bookmarkEnd w:id="11"/>
      <w:r>
        <w:t>Data</w:t>
      </w:r>
    </w:p>
    <w:p w14:paraId="0A9FD35E" w14:textId="77777777" w:rsidR="009C4439" w:rsidRDefault="004954BC">
      <w:pPr>
        <w:pStyle w:val="berschrift2"/>
      </w:pPr>
      <w:bookmarkStart w:id="24" w:name="sec:a1i1i8zpejdi"/>
      <w:r>
        <w:t>Synthesis</w:t>
      </w:r>
    </w:p>
    <w:p w14:paraId="307C6D54" w14:textId="77777777" w:rsidR="009C4439" w:rsidRDefault="004954BC">
      <w:pPr>
        <w:pStyle w:val="Compact"/>
        <w:numPr>
          <w:ilvl w:val="0"/>
          <w:numId w:val="13"/>
        </w:numPr>
      </w:pPr>
      <w:r>
        <w:t>Describe the criteria under which study data will be quantitatively synthesized.</w:t>
      </w:r>
    </w:p>
    <w:p w14:paraId="307B017D" w14:textId="77777777" w:rsidR="009C4439" w:rsidRDefault="004954BC">
      <w:pPr>
        <w:pStyle w:val="Compact"/>
        <w:numPr>
          <w:ilvl w:val="0"/>
          <w:numId w:val="13"/>
        </w:numPr>
      </w:pPr>
      <w:r>
        <w:t>If data are appropriate for quantitative synthesis</w:t>
      </w:r>
      <w:r>
        <w:t>, describe planned summary measures, methods of handling data, and methods of combining data from studies, including any planned exploration of consistency (e.g., I2, Kendall’s tau).</w:t>
      </w:r>
    </w:p>
    <w:p w14:paraId="79F4E74E" w14:textId="77777777" w:rsidR="009C4439" w:rsidRDefault="004954BC">
      <w:pPr>
        <w:pStyle w:val="Compact"/>
        <w:numPr>
          <w:ilvl w:val="0"/>
          <w:numId w:val="13"/>
        </w:numPr>
      </w:pPr>
      <w:r>
        <w:t xml:space="preserve">Describe any proposed additional analyses (e.g., sensitivity or subgroup </w:t>
      </w:r>
      <w:r>
        <w:t>analyses, meta-regression).</w:t>
      </w:r>
    </w:p>
    <w:p w14:paraId="435AA5CE" w14:textId="77777777" w:rsidR="009C4439" w:rsidRDefault="004954BC">
      <w:pPr>
        <w:pStyle w:val="Compact"/>
        <w:numPr>
          <w:ilvl w:val="0"/>
          <w:numId w:val="13"/>
        </w:numPr>
      </w:pPr>
      <w:r>
        <w:t>If quantitative synthesis is not appropriate, describe the type of summary planned.</w:t>
      </w:r>
    </w:p>
    <w:p w14:paraId="07979D17" w14:textId="77777777" w:rsidR="009C4439" w:rsidRDefault="004954BC">
      <w:pPr>
        <w:pStyle w:val="berschrift2"/>
      </w:pPr>
      <w:bookmarkStart w:id="25" w:name="sec:q8qtudzeax3b"/>
      <w:bookmarkEnd w:id="24"/>
      <w:r>
        <w:lastRenderedPageBreak/>
        <w:t>Meta-bias(es)</w:t>
      </w:r>
    </w:p>
    <w:p w14:paraId="5E72393F" w14:textId="77777777" w:rsidR="009C4439" w:rsidRDefault="004954BC">
      <w:pPr>
        <w:pStyle w:val="FirstParagraph"/>
      </w:pPr>
      <w:r>
        <w:t>Specify any planned assessment of meta-bias(es) (e.g., publication bias across studies, selective reporting within studies).</w:t>
      </w:r>
    </w:p>
    <w:p w14:paraId="5F0B0113" w14:textId="77777777" w:rsidR="009C4439" w:rsidRDefault="004954BC">
      <w:pPr>
        <w:pStyle w:val="berschrift2"/>
      </w:pPr>
      <w:bookmarkStart w:id="26" w:name="sec:wn5uuoyxl8jl"/>
      <w:bookmarkEnd w:id="25"/>
      <w:r>
        <w:t>Confidence in cumulative evidence</w:t>
      </w:r>
    </w:p>
    <w:p w14:paraId="443511EA" w14:textId="77777777" w:rsidR="009C4439" w:rsidRDefault="004954BC">
      <w:pPr>
        <w:pStyle w:val="FirstParagraph"/>
      </w:pPr>
      <w:r>
        <w:t>Describe how the strength of the body of evidence will be assessed (e.g., GRADE).</w:t>
      </w:r>
    </w:p>
    <w:p w14:paraId="42FD19F2" w14:textId="77777777" w:rsidR="009C4439" w:rsidRDefault="004954BC">
      <w:pPr>
        <w:pStyle w:val="berschrift1"/>
      </w:pPr>
      <w:bookmarkStart w:id="27" w:name="X005ff20b55366300c315d94e53c8f3bdee52460"/>
      <w:bookmarkEnd w:id="26"/>
      <w:bookmarkEnd w:id="22"/>
      <w:bookmarkEnd w:id="23"/>
      <w:r>
        <w:t>Conclusions</w:t>
      </w:r>
    </w:p>
    <w:p w14:paraId="02D92DE3" w14:textId="77777777" w:rsidR="009C4439" w:rsidRDefault="004954BC">
      <w:pPr>
        <w:pStyle w:val="FirstParagraph"/>
      </w:pPr>
      <w:r>
        <w:t xml:space="preserve">If </w:t>
      </w:r>
      <w:r>
        <w:t>applicable.</w:t>
      </w:r>
    </w:p>
    <w:p w14:paraId="60C21031" w14:textId="77777777" w:rsidR="009C4439" w:rsidRDefault="004954BC">
      <w:pPr>
        <w:pStyle w:val="berschrift1"/>
      </w:pPr>
      <w:bookmarkStart w:id="28" w:name="sec:null"/>
      <w:bookmarkStart w:id="29" w:name="X3a4a2bca3f4088eb6542a521a1d63d27feb03ff"/>
      <w:bookmarkEnd w:id="27"/>
      <w:r>
        <w:t>References</w:t>
      </w:r>
    </w:p>
    <w:p w14:paraId="0FF40085" w14:textId="77777777" w:rsidR="009C4439" w:rsidRDefault="004954BC">
      <w:bookmarkStart w:id="30" w:name="refs"/>
      <w:bookmarkEnd w:id="30"/>
      <w:bookmarkEnd w:id="28"/>
      <w:bookmarkEnd w:id="29"/>
      <w:r>
        <w:br w:type="page"/>
      </w:r>
    </w:p>
    <w:sectPr w:rsidR="009C4439" w:rsidSect="00840C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440" w:bottom="1440" w:left="1440" w:header="720" w:footer="720" w:gutter="0"/>
      <w:lnNumType w:countBy="1" w:restart="continuous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4484" w14:textId="77777777" w:rsidR="004954BC" w:rsidRDefault="004954BC">
      <w:pPr>
        <w:spacing w:after="0" w:line="240" w:lineRule="auto"/>
      </w:pPr>
      <w:r>
        <w:separator/>
      </w:r>
    </w:p>
  </w:endnote>
  <w:endnote w:type="continuationSeparator" w:id="0">
    <w:p w14:paraId="3F6D396E" w14:textId="77777777" w:rsidR="004954BC" w:rsidRDefault="0049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BB45" w14:textId="77777777" w:rsidR="004954BC" w:rsidRDefault="004954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9BDB" w14:textId="77777777" w:rsidR="004954BC" w:rsidRDefault="004954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ACBC" w14:textId="77777777" w:rsidR="004954BC" w:rsidRDefault="004954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BB32" w14:textId="77777777" w:rsidR="009C4439" w:rsidRDefault="004954BC">
      <w:r>
        <w:separator/>
      </w:r>
    </w:p>
  </w:footnote>
  <w:footnote w:type="continuationSeparator" w:id="0">
    <w:p w14:paraId="5E5DAD32" w14:textId="77777777" w:rsidR="009C4439" w:rsidRDefault="0049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1A8E" w14:textId="77777777" w:rsidR="004954BC" w:rsidRDefault="004954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2948979"/>
      <w:docPartObj>
        <w:docPartGallery w:val="Page Numbers (Top of Page)"/>
        <w:docPartUnique/>
      </w:docPartObj>
    </w:sdtPr>
    <w:sdtEndPr/>
    <w:sdtContent>
      <w:p w14:paraId="3764352E" w14:textId="77777777" w:rsidR="004954BC" w:rsidRDefault="004954BC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A59053F" w14:textId="77777777" w:rsidR="004954BC" w:rsidRDefault="004954B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98C1" w14:textId="77777777" w:rsidR="004954BC" w:rsidRDefault="004954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8677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9843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C3E41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E8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0E41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FEC2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7A9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44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4E2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AC4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380C79A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000A991"/>
    <w:multiLevelType w:val="multilevel"/>
    <w:tmpl w:val="AFAE4CB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2" w15:restartNumberingAfterBreak="0">
    <w:nsid w:val="170CD2DE"/>
    <w:multiLevelType w:val="multilevel"/>
    <w:tmpl w:val="47A60A7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61509749">
    <w:abstractNumId w:val="12"/>
  </w:num>
  <w:num w:numId="2" w16cid:durableId="387654101">
    <w:abstractNumId w:val="9"/>
  </w:num>
  <w:num w:numId="3" w16cid:durableId="154300671">
    <w:abstractNumId w:val="7"/>
  </w:num>
  <w:num w:numId="4" w16cid:durableId="767114204">
    <w:abstractNumId w:val="6"/>
  </w:num>
  <w:num w:numId="5" w16cid:durableId="1697733313">
    <w:abstractNumId w:val="5"/>
  </w:num>
  <w:num w:numId="6" w16cid:durableId="1764834738">
    <w:abstractNumId w:val="4"/>
  </w:num>
  <w:num w:numId="7" w16cid:durableId="1597711819">
    <w:abstractNumId w:val="8"/>
  </w:num>
  <w:num w:numId="8" w16cid:durableId="1117140382">
    <w:abstractNumId w:val="3"/>
  </w:num>
  <w:num w:numId="9" w16cid:durableId="1003823763">
    <w:abstractNumId w:val="2"/>
  </w:num>
  <w:num w:numId="10" w16cid:durableId="571545376">
    <w:abstractNumId w:val="1"/>
  </w:num>
  <w:num w:numId="11" w16cid:durableId="772822746">
    <w:abstractNumId w:val="0"/>
  </w:num>
  <w:num w:numId="12" w16cid:durableId="2059083427">
    <w:abstractNumId w:val="10"/>
  </w:num>
  <w:num w:numId="13" w16cid:durableId="995720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439"/>
    <w:rsid w:val="004954BC"/>
    <w:rsid w:val="009C44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95FEE"/>
  <w15:docId w15:val="{5BE0F02A-011D-43F8-8902-499CB24C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A2A8E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A8E"/>
    <w:pPr>
      <w:keepNext/>
      <w:keepLines/>
      <w:spacing w:before="80" w:after="80" w:line="240" w:lineRule="auto"/>
      <w:outlineLvl w:val="0"/>
    </w:pPr>
    <w:rPr>
      <w:rFonts w:asciiTheme="majorHAnsi" w:eastAsiaTheme="majorEastAsia" w:hAnsiTheme="majorHAnsi" w:cstheme="majorBidi"/>
      <w:spacing w:val="10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A8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41B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011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8011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A8011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A8011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A8011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A8011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spacing w:before="180" w:after="180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"/>
    <w:pPr>
      <w:spacing w:before="36" w:after="36"/>
    </w:pPr>
  </w:style>
  <w:style w:type="paragraph" w:styleId="Titel">
    <w:name w:val="Title"/>
    <w:basedOn w:val="Standard"/>
    <w:next w:val="Standard"/>
    <w:link w:val="TitelZchn"/>
    <w:uiPriority w:val="10"/>
    <w:qFormat/>
    <w:rsid w:val="00C064E5"/>
    <w:pPr>
      <w:spacing w:after="240" w:line="360" w:lineRule="auto"/>
      <w:contextualSpacing/>
      <w:jc w:val="center"/>
    </w:pPr>
    <w:rPr>
      <w:rFonts w:asciiTheme="majorHAnsi" w:eastAsiaTheme="majorEastAsia" w:hAnsiTheme="majorHAnsi" w:cstheme="majorBidi"/>
      <w:spacing w:val="40"/>
      <w:sz w:val="40"/>
      <w:szCs w:val="7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64E5"/>
    <w:pPr>
      <w:numPr>
        <w:ilvl w:val="1"/>
      </w:numPr>
      <w:spacing w:after="240"/>
      <w:jc w:val="center"/>
    </w:pPr>
    <w:rPr>
      <w:color w:val="000000" w:themeColor="text1"/>
      <w:szCs w:val="24"/>
    </w:rPr>
  </w:style>
  <w:style w:type="paragraph" w:customStyle="1" w:styleId="Author">
    <w:name w:val="Author"/>
    <w:next w:val="Textkrper"/>
    <w:pPr>
      <w:keepNext/>
      <w:keepLines/>
      <w:jc w:val="center"/>
    </w:p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rsid w:val="00BA2A8E"/>
    <w:pPr>
      <w:keepNext/>
      <w:keepLines/>
      <w:spacing w:before="300" w:after="300"/>
    </w:pPr>
    <w:rPr>
      <w:szCs w:val="20"/>
    </w:rPr>
  </w:style>
  <w:style w:type="paragraph" w:styleId="Literaturverzeichnis">
    <w:name w:val="Bibliography"/>
    <w:basedOn w:val="Standard"/>
    <w:rsid w:val="00BA25CE"/>
    <w:pPr>
      <w:ind w:left="720" w:hanging="720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</w:style>
  <w:style w:type="table" w:customStyle="1" w:styleId="Table">
    <w:name w:val="Table"/>
    <w:semiHidden/>
    <w:unhideWhenUsed/>
    <w:qFormat/>
    <w:rsid w:val="00BA2A8E"/>
    <w:rPr>
      <w:sz w:val="24"/>
      <w:szCs w:val="20"/>
      <w:lang w:eastAsia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E03D23"/>
    <w:pPr>
      <w:spacing w:line="240" w:lineRule="auto"/>
    </w:pPr>
    <w:rPr>
      <w:b/>
      <w:bCs/>
      <w:color w:val="DDDDDD" w:themeColor="accent1"/>
      <w:spacing w:val="10"/>
      <w:sz w:val="16"/>
      <w:szCs w:val="16"/>
    </w:rPr>
  </w:style>
  <w:style w:type="paragraph" w:customStyle="1" w:styleId="TableCaption">
    <w:name w:val="Table Caption"/>
    <w:basedOn w:val="Beschriftung"/>
    <w:rsid w:val="00E66F02"/>
    <w:pPr>
      <w:keepNext/>
      <w:spacing w:before="240" w:after="120"/>
    </w:pPr>
    <w:rPr>
      <w:color w:val="auto"/>
      <w:sz w:val="21"/>
    </w:rPr>
  </w:style>
  <w:style w:type="paragraph" w:customStyle="1" w:styleId="ImageCaption">
    <w:name w:val="Image Caption"/>
    <w:basedOn w:val="Beschriftung"/>
    <w:rsid w:val="00E66F02"/>
    <w:pPr>
      <w:spacing w:after="240"/>
    </w:pPr>
    <w:rPr>
      <w:color w:val="auto"/>
      <w:sz w:val="21"/>
    </w:rPr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  <w:uiPriority w:val="35"/>
    <w:rsid w:val="00E03D23"/>
    <w:rPr>
      <w:b/>
      <w:bCs/>
      <w:color w:val="DDDDDD" w:themeColor="accent1"/>
      <w:spacing w:val="10"/>
      <w:sz w:val="16"/>
      <w:szCs w:val="16"/>
    </w:rPr>
  </w:style>
  <w:style w:type="character" w:customStyle="1" w:styleId="VerbatimChar">
    <w:name w:val="Verbatim Char"/>
    <w:basedOn w:val="BeschriftungZchn"/>
    <w:link w:val="SourceCode"/>
    <w:rPr>
      <w:rFonts w:ascii="Consolas" w:hAnsi="Consolas"/>
      <w:b/>
      <w:bCs/>
      <w:color w:val="B2B2B2" w:themeColor="accent2"/>
      <w:spacing w:val="10"/>
      <w:sz w:val="22"/>
      <w:szCs w:val="16"/>
    </w:rPr>
  </w:style>
  <w:style w:type="character" w:customStyle="1" w:styleId="SectionNumber">
    <w:name w:val="Section Number"/>
    <w:basedOn w:val="BeschriftungZchn"/>
    <w:rPr>
      <w:b/>
      <w:bCs/>
      <w:color w:val="B2B2B2" w:themeColor="accent2"/>
      <w:spacing w:val="10"/>
      <w:sz w:val="16"/>
      <w:szCs w:val="16"/>
    </w:rPr>
  </w:style>
  <w:style w:type="character" w:styleId="Funotenzeichen">
    <w:name w:val="footnote reference"/>
    <w:basedOn w:val="BeschriftungZchn"/>
    <w:rsid w:val="00752CC6"/>
    <w:rPr>
      <w:b/>
      <w:bCs/>
      <w:color w:val="auto"/>
      <w:spacing w:val="10"/>
      <w:sz w:val="20"/>
      <w:szCs w:val="16"/>
      <w:vertAlign w:val="superscript"/>
    </w:rPr>
  </w:style>
  <w:style w:type="character" w:styleId="Hyperlink">
    <w:name w:val="Hyperlink"/>
    <w:basedOn w:val="BeschriftungZchn"/>
    <w:rsid w:val="00752CC6"/>
    <w:rPr>
      <w:b w:val="0"/>
      <w:bCs/>
      <w:color w:val="auto"/>
      <w:spacing w:val="0"/>
      <w:sz w:val="24"/>
      <w:szCs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8011D"/>
    <w:pPr>
      <w:outlineLvl w:val="9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A2A8E"/>
    <w:rPr>
      <w:rFonts w:asciiTheme="majorHAnsi" w:eastAsiaTheme="majorEastAsia" w:hAnsiTheme="majorHAnsi" w:cstheme="majorBidi"/>
      <w:spacing w:val="10"/>
      <w:sz w:val="32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A8E"/>
    <w:rPr>
      <w:rFonts w:asciiTheme="majorHAnsi" w:eastAsiaTheme="majorEastAsia" w:hAnsiTheme="majorHAnsi" w:cstheme="majorBidi"/>
      <w:sz w:val="28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41B3"/>
    <w:rPr>
      <w:rFonts w:asciiTheme="majorHAnsi" w:eastAsiaTheme="majorEastAsia" w:hAnsiTheme="majorHAnsi" w:cstheme="majorBidi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011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011D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801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8011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A8011D"/>
    <w:rPr>
      <w:rFonts w:asciiTheme="majorHAnsi" w:eastAsiaTheme="majorEastAsia" w:hAnsiTheme="majorHAnsi" w:cstheme="majorBidi"/>
      <w:caps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8011D"/>
    <w:rPr>
      <w:rFonts w:asciiTheme="majorHAnsi" w:eastAsiaTheme="majorEastAsia" w:hAnsiTheme="majorHAnsi" w:cstheme="majorBidi"/>
      <w:i/>
      <w:iCs/>
      <w:caps/>
    </w:rPr>
  </w:style>
  <w:style w:type="character" w:customStyle="1" w:styleId="TitelZchn">
    <w:name w:val="Titel Zchn"/>
    <w:basedOn w:val="Absatz-Standardschriftart"/>
    <w:link w:val="Titel"/>
    <w:uiPriority w:val="10"/>
    <w:rsid w:val="00C064E5"/>
    <w:rPr>
      <w:rFonts w:asciiTheme="majorHAnsi" w:eastAsiaTheme="majorEastAsia" w:hAnsiTheme="majorHAnsi" w:cstheme="majorBidi"/>
      <w:spacing w:val="40"/>
      <w:sz w:val="40"/>
      <w:szCs w:val="7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64E5"/>
    <w:rPr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8011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8011D"/>
    <w:rPr>
      <w:rFonts w:asciiTheme="minorHAnsi" w:eastAsiaTheme="minorEastAsia" w:hAnsiTheme="minorHAnsi" w:cstheme="minorBidi"/>
      <w:i/>
      <w:iCs/>
      <w:color w:val="858585" w:themeColor="accent2" w:themeShade="BF"/>
      <w:sz w:val="20"/>
      <w:szCs w:val="20"/>
    </w:rPr>
  </w:style>
  <w:style w:type="paragraph" w:styleId="KeinLeerraum">
    <w:name w:val="No Spacing"/>
    <w:uiPriority w:val="1"/>
    <w:qFormat/>
    <w:rsid w:val="00A8011D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A8011D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A8011D"/>
    <w:rPr>
      <w:rFonts w:asciiTheme="majorHAnsi" w:eastAsiaTheme="majorEastAsia" w:hAnsiTheme="majorHAnsi" w:cstheme="majorBidi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01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011D"/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A8011D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A8011D"/>
    <w:rPr>
      <w:rFonts w:asciiTheme="minorHAnsi" w:eastAsiaTheme="minorEastAsia" w:hAnsiTheme="minorHAnsi" w:cstheme="minorBidi"/>
      <w:b/>
      <w:bCs/>
      <w:i/>
      <w:iCs/>
      <w:color w:val="858585" w:themeColor="accent2" w:themeShade="BF"/>
      <w:spacing w:val="0"/>
      <w:w w:val="100"/>
      <w:position w:val="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A8011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A8011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uchtitel">
    <w:name w:val="Book Title"/>
    <w:basedOn w:val="Absatz-Standardschriftart"/>
    <w:uiPriority w:val="33"/>
    <w:qFormat/>
    <w:rsid w:val="00A8011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styleId="Zeilennummer">
    <w:name w:val="line number"/>
    <w:basedOn w:val="Absatz-Standardschriftart"/>
    <w:semiHidden/>
    <w:unhideWhenUsed/>
    <w:rsid w:val="001471E6"/>
  </w:style>
  <w:style w:type="character" w:customStyle="1" w:styleId="TextkrperZchn">
    <w:name w:val="Textkörper Zchn"/>
    <w:basedOn w:val="Absatz-Standardschriftart"/>
    <w:link w:val="Textkrper"/>
    <w:rsid w:val="00BA25CE"/>
  </w:style>
  <w:style w:type="paragraph" w:styleId="Nachrichtenkopf">
    <w:name w:val="Message Header"/>
    <w:basedOn w:val="Standard"/>
    <w:link w:val="NachrichtenkopfZchn"/>
    <w:semiHidden/>
    <w:unhideWhenUsed/>
    <w:rsid w:val="00BA2A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Times New Roman" w:eastAsiaTheme="majorEastAsia" w:hAnsi="Times New Roman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BA2A8E"/>
    <w:rPr>
      <w:rFonts w:ascii="Times New Roman" w:eastAsiaTheme="majorEastAsia" w:hAnsi="Times New Roman" w:cstheme="majorBidi"/>
      <w:sz w:val="24"/>
      <w:szCs w:val="24"/>
      <w:shd w:val="pct20" w:color="auto" w:fill="auto"/>
    </w:rPr>
  </w:style>
  <w:style w:type="paragraph" w:styleId="berarbeitung">
    <w:name w:val="Revision"/>
    <w:hidden/>
    <w:semiHidden/>
    <w:rsid w:val="00752CC6"/>
    <w:pPr>
      <w:spacing w:after="0" w:line="240" w:lineRule="auto"/>
    </w:pPr>
    <w:rPr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CC1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1E36"/>
    <w:rPr>
      <w:sz w:val="24"/>
    </w:rPr>
  </w:style>
  <w:style w:type="paragraph" w:styleId="Fuzeile">
    <w:name w:val="footer"/>
    <w:basedOn w:val="Standard"/>
    <w:link w:val="FuzeileZchn"/>
    <w:unhideWhenUsed/>
    <w:rsid w:val="00CC1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CC1E36"/>
    <w:rPr>
      <w:sz w:val="24"/>
    </w:r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bCs/>
      <w:color w:val="007020"/>
      <w:spacing w:val="10"/>
      <w:sz w:val="22"/>
      <w:szCs w:val="16"/>
    </w:rPr>
  </w:style>
  <w:style w:type="character" w:customStyle="1" w:styleId="DataTypeTok">
    <w:name w:val="DataTypeTok"/>
    <w:basedOn w:val="VerbatimChar"/>
    <w:rPr>
      <w:rFonts w:ascii="Consolas" w:hAnsi="Consolas"/>
      <w:b/>
      <w:bCs/>
      <w:color w:val="902000"/>
      <w:spacing w:val="10"/>
      <w:sz w:val="22"/>
      <w:szCs w:val="16"/>
    </w:rPr>
  </w:style>
  <w:style w:type="character" w:customStyle="1" w:styleId="DecValTok">
    <w:name w:val="DecValTok"/>
    <w:basedOn w:val="VerbatimChar"/>
    <w:rPr>
      <w:rFonts w:ascii="Consolas" w:hAnsi="Consolas"/>
      <w:b/>
      <w:bCs/>
      <w:color w:val="40A070"/>
      <w:spacing w:val="10"/>
      <w:sz w:val="22"/>
      <w:szCs w:val="16"/>
    </w:rPr>
  </w:style>
  <w:style w:type="character" w:customStyle="1" w:styleId="BaseNTok">
    <w:name w:val="BaseNTok"/>
    <w:basedOn w:val="VerbatimChar"/>
    <w:rPr>
      <w:rFonts w:ascii="Consolas" w:hAnsi="Consolas"/>
      <w:b/>
      <w:bCs/>
      <w:color w:val="40A070"/>
      <w:spacing w:val="10"/>
      <w:sz w:val="22"/>
      <w:szCs w:val="16"/>
    </w:rPr>
  </w:style>
  <w:style w:type="character" w:customStyle="1" w:styleId="FloatTok">
    <w:name w:val="FloatTok"/>
    <w:basedOn w:val="VerbatimChar"/>
    <w:rPr>
      <w:rFonts w:ascii="Consolas" w:hAnsi="Consolas"/>
      <w:b/>
      <w:bCs/>
      <w:color w:val="40A070"/>
      <w:spacing w:val="10"/>
      <w:sz w:val="22"/>
      <w:szCs w:val="16"/>
    </w:rPr>
  </w:style>
  <w:style w:type="character" w:customStyle="1" w:styleId="ConstantTok">
    <w:name w:val="ConstantTok"/>
    <w:basedOn w:val="VerbatimChar"/>
    <w:rPr>
      <w:rFonts w:ascii="Consolas" w:hAnsi="Consolas"/>
      <w:b/>
      <w:bCs/>
      <w:color w:val="880000"/>
      <w:spacing w:val="10"/>
      <w:sz w:val="22"/>
      <w:szCs w:val="16"/>
    </w:rPr>
  </w:style>
  <w:style w:type="character" w:customStyle="1" w:styleId="CharTok">
    <w:name w:val="CharTok"/>
    <w:basedOn w:val="VerbatimChar"/>
    <w:rPr>
      <w:rFonts w:ascii="Consolas" w:hAnsi="Consolas"/>
      <w:b/>
      <w:bCs/>
      <w:color w:val="4070A0"/>
      <w:spacing w:val="10"/>
      <w:sz w:val="22"/>
      <w:szCs w:val="16"/>
    </w:rPr>
  </w:style>
  <w:style w:type="character" w:customStyle="1" w:styleId="SpecialCharTok">
    <w:name w:val="SpecialCharTok"/>
    <w:basedOn w:val="VerbatimChar"/>
    <w:rPr>
      <w:rFonts w:ascii="Consolas" w:hAnsi="Consolas"/>
      <w:b/>
      <w:bCs/>
      <w:color w:val="4070A0"/>
      <w:spacing w:val="10"/>
      <w:sz w:val="22"/>
      <w:szCs w:val="16"/>
    </w:rPr>
  </w:style>
  <w:style w:type="character" w:customStyle="1" w:styleId="StringTok">
    <w:name w:val="StringTok"/>
    <w:basedOn w:val="VerbatimChar"/>
    <w:rPr>
      <w:rFonts w:ascii="Consolas" w:hAnsi="Consolas"/>
      <w:b/>
      <w:bCs/>
      <w:color w:val="4070A0"/>
      <w:spacing w:val="10"/>
      <w:sz w:val="22"/>
      <w:szCs w:val="16"/>
    </w:rPr>
  </w:style>
  <w:style w:type="character" w:customStyle="1" w:styleId="VerbatimStringTok">
    <w:name w:val="VerbatimStringTok"/>
    <w:basedOn w:val="VerbatimChar"/>
    <w:rPr>
      <w:rFonts w:ascii="Consolas" w:hAnsi="Consolas"/>
      <w:b/>
      <w:bCs/>
      <w:color w:val="4070A0"/>
      <w:spacing w:val="10"/>
      <w:sz w:val="22"/>
      <w:szCs w:val="16"/>
    </w:rPr>
  </w:style>
  <w:style w:type="character" w:customStyle="1" w:styleId="SpecialStringTok">
    <w:name w:val="SpecialStringTok"/>
    <w:basedOn w:val="VerbatimChar"/>
    <w:rPr>
      <w:rFonts w:ascii="Consolas" w:hAnsi="Consolas"/>
      <w:b/>
      <w:bCs/>
      <w:color w:val="BB6688"/>
      <w:spacing w:val="10"/>
      <w:sz w:val="22"/>
      <w:szCs w:val="16"/>
    </w:rPr>
  </w:style>
  <w:style w:type="character" w:customStyle="1" w:styleId="ImportTok">
    <w:name w:val="ImportTok"/>
    <w:basedOn w:val="VerbatimChar"/>
    <w:rPr>
      <w:rFonts w:ascii="Consolas" w:hAnsi="Consolas"/>
      <w:b/>
      <w:bCs/>
      <w:color w:val="008000"/>
      <w:spacing w:val="10"/>
      <w:sz w:val="22"/>
      <w:szCs w:val="16"/>
    </w:rPr>
  </w:style>
  <w:style w:type="character" w:customStyle="1" w:styleId="CommentTok">
    <w:name w:val="CommentTok"/>
    <w:basedOn w:val="VerbatimChar"/>
    <w:rPr>
      <w:rFonts w:ascii="Consolas" w:hAnsi="Consolas"/>
      <w:b/>
      <w:bCs/>
      <w:i/>
      <w:color w:val="60A0B0"/>
      <w:spacing w:val="10"/>
      <w:sz w:val="22"/>
      <w:szCs w:val="16"/>
    </w:rPr>
  </w:style>
  <w:style w:type="character" w:customStyle="1" w:styleId="DocumentationTok">
    <w:name w:val="DocumentationTok"/>
    <w:basedOn w:val="VerbatimChar"/>
    <w:rPr>
      <w:rFonts w:ascii="Consolas" w:hAnsi="Consolas"/>
      <w:b/>
      <w:bCs/>
      <w:i/>
      <w:color w:val="BA2121"/>
      <w:spacing w:val="10"/>
      <w:sz w:val="22"/>
      <w:szCs w:val="16"/>
    </w:rPr>
  </w:style>
  <w:style w:type="character" w:customStyle="1" w:styleId="AnnotationTok">
    <w:name w:val="AnnotationTok"/>
    <w:basedOn w:val="VerbatimChar"/>
    <w:rPr>
      <w:rFonts w:ascii="Consolas" w:hAnsi="Consolas"/>
      <w:b/>
      <w:bCs/>
      <w:i/>
      <w:color w:val="60A0B0"/>
      <w:spacing w:val="10"/>
      <w:sz w:val="22"/>
      <w:szCs w:val="16"/>
    </w:rPr>
  </w:style>
  <w:style w:type="character" w:customStyle="1" w:styleId="CommentVarTok">
    <w:name w:val="CommentVarTok"/>
    <w:basedOn w:val="VerbatimChar"/>
    <w:rPr>
      <w:rFonts w:ascii="Consolas" w:hAnsi="Consolas"/>
      <w:b/>
      <w:bCs/>
      <w:i/>
      <w:color w:val="60A0B0"/>
      <w:spacing w:val="10"/>
      <w:sz w:val="22"/>
      <w:szCs w:val="16"/>
    </w:rPr>
  </w:style>
  <w:style w:type="character" w:customStyle="1" w:styleId="OtherTok">
    <w:name w:val="OtherTok"/>
    <w:basedOn w:val="VerbatimChar"/>
    <w:rPr>
      <w:rFonts w:ascii="Consolas" w:hAnsi="Consolas"/>
      <w:b/>
      <w:bCs/>
      <w:color w:val="007020"/>
      <w:spacing w:val="10"/>
      <w:sz w:val="22"/>
      <w:szCs w:val="16"/>
    </w:rPr>
  </w:style>
  <w:style w:type="character" w:customStyle="1" w:styleId="FunctionTok">
    <w:name w:val="FunctionTok"/>
    <w:basedOn w:val="VerbatimChar"/>
    <w:rPr>
      <w:rFonts w:ascii="Consolas" w:hAnsi="Consolas"/>
      <w:b/>
      <w:bCs/>
      <w:color w:val="06287E"/>
      <w:spacing w:val="10"/>
      <w:sz w:val="22"/>
      <w:szCs w:val="16"/>
    </w:rPr>
  </w:style>
  <w:style w:type="character" w:customStyle="1" w:styleId="VariableTok">
    <w:name w:val="VariableTok"/>
    <w:basedOn w:val="VerbatimChar"/>
    <w:rPr>
      <w:rFonts w:ascii="Consolas" w:hAnsi="Consolas"/>
      <w:b/>
      <w:bCs/>
      <w:color w:val="19177C"/>
      <w:spacing w:val="10"/>
      <w:sz w:val="22"/>
      <w:szCs w:val="16"/>
    </w:rPr>
  </w:style>
  <w:style w:type="character" w:customStyle="1" w:styleId="ControlFlowTok">
    <w:name w:val="ControlFlowTok"/>
    <w:basedOn w:val="VerbatimChar"/>
    <w:rPr>
      <w:rFonts w:ascii="Consolas" w:hAnsi="Consolas"/>
      <w:b/>
      <w:bCs/>
      <w:color w:val="007020"/>
      <w:spacing w:val="10"/>
      <w:sz w:val="22"/>
      <w:szCs w:val="16"/>
    </w:rPr>
  </w:style>
  <w:style w:type="character" w:customStyle="1" w:styleId="OperatorTok">
    <w:name w:val="OperatorTok"/>
    <w:basedOn w:val="VerbatimChar"/>
    <w:rPr>
      <w:rFonts w:ascii="Consolas" w:hAnsi="Consolas"/>
      <w:b/>
      <w:bCs/>
      <w:color w:val="666666"/>
      <w:spacing w:val="10"/>
      <w:sz w:val="22"/>
      <w:szCs w:val="16"/>
    </w:rPr>
  </w:style>
  <w:style w:type="character" w:customStyle="1" w:styleId="BuiltInTok">
    <w:name w:val="BuiltInTok"/>
    <w:basedOn w:val="VerbatimChar"/>
    <w:rPr>
      <w:rFonts w:ascii="Consolas" w:hAnsi="Consolas"/>
      <w:b/>
      <w:bCs/>
      <w:color w:val="008000"/>
      <w:spacing w:val="10"/>
      <w:sz w:val="22"/>
      <w:szCs w:val="16"/>
    </w:rPr>
  </w:style>
  <w:style w:type="character" w:customStyle="1" w:styleId="ExtensionTok">
    <w:name w:val="ExtensionTok"/>
    <w:basedOn w:val="VerbatimChar"/>
    <w:rPr>
      <w:rFonts w:ascii="Consolas" w:hAnsi="Consolas"/>
      <w:b/>
      <w:bCs/>
      <w:color w:val="B2B2B2" w:themeColor="accent2"/>
      <w:spacing w:val="10"/>
      <w:sz w:val="22"/>
      <w:szCs w:val="16"/>
    </w:rPr>
  </w:style>
  <w:style w:type="character" w:customStyle="1" w:styleId="PreprocessorTok">
    <w:name w:val="PreprocessorTok"/>
    <w:basedOn w:val="VerbatimChar"/>
    <w:rPr>
      <w:rFonts w:ascii="Consolas" w:hAnsi="Consolas"/>
      <w:b/>
      <w:bCs/>
      <w:color w:val="BC7A00"/>
      <w:spacing w:val="10"/>
      <w:sz w:val="22"/>
      <w:szCs w:val="16"/>
    </w:rPr>
  </w:style>
  <w:style w:type="character" w:customStyle="1" w:styleId="AttributeTok">
    <w:name w:val="AttributeTok"/>
    <w:basedOn w:val="VerbatimChar"/>
    <w:rPr>
      <w:rFonts w:ascii="Consolas" w:hAnsi="Consolas"/>
      <w:b/>
      <w:bCs/>
      <w:color w:val="7D9029"/>
      <w:spacing w:val="10"/>
      <w:sz w:val="22"/>
      <w:szCs w:val="16"/>
    </w:rPr>
  </w:style>
  <w:style w:type="character" w:customStyle="1" w:styleId="RegionMarkerTok">
    <w:name w:val="RegionMarkerTok"/>
    <w:basedOn w:val="VerbatimChar"/>
    <w:rPr>
      <w:rFonts w:ascii="Consolas" w:hAnsi="Consolas"/>
      <w:b/>
      <w:bCs/>
      <w:color w:val="B2B2B2" w:themeColor="accent2"/>
      <w:spacing w:val="10"/>
      <w:sz w:val="22"/>
      <w:szCs w:val="16"/>
    </w:rPr>
  </w:style>
  <w:style w:type="character" w:customStyle="1" w:styleId="InformationTok">
    <w:name w:val="InformationTok"/>
    <w:basedOn w:val="VerbatimChar"/>
    <w:rPr>
      <w:rFonts w:ascii="Consolas" w:hAnsi="Consolas"/>
      <w:b/>
      <w:bCs/>
      <w:i/>
      <w:color w:val="60A0B0"/>
      <w:spacing w:val="10"/>
      <w:sz w:val="22"/>
      <w:szCs w:val="16"/>
    </w:rPr>
  </w:style>
  <w:style w:type="character" w:customStyle="1" w:styleId="WarningTok">
    <w:name w:val="WarningTok"/>
    <w:basedOn w:val="VerbatimChar"/>
    <w:rPr>
      <w:rFonts w:ascii="Consolas" w:hAnsi="Consolas"/>
      <w:b/>
      <w:bCs/>
      <w:i/>
      <w:color w:val="60A0B0"/>
      <w:spacing w:val="10"/>
      <w:sz w:val="22"/>
      <w:szCs w:val="16"/>
    </w:rPr>
  </w:style>
  <w:style w:type="character" w:customStyle="1" w:styleId="AlertTok">
    <w:name w:val="AlertTok"/>
    <w:basedOn w:val="VerbatimChar"/>
    <w:rPr>
      <w:rFonts w:ascii="Consolas" w:hAnsi="Consolas"/>
      <w:b/>
      <w:bCs/>
      <w:color w:val="FF0000"/>
      <w:spacing w:val="10"/>
      <w:sz w:val="22"/>
      <w:szCs w:val="16"/>
    </w:rPr>
  </w:style>
  <w:style w:type="character" w:customStyle="1" w:styleId="ErrorTok">
    <w:name w:val="ErrorTok"/>
    <w:basedOn w:val="VerbatimChar"/>
    <w:rPr>
      <w:rFonts w:ascii="Consolas" w:hAnsi="Consolas"/>
      <w:b/>
      <w:bCs/>
      <w:color w:val="FF0000"/>
      <w:spacing w:val="10"/>
      <w:sz w:val="22"/>
      <w:szCs w:val="16"/>
    </w:rPr>
  </w:style>
  <w:style w:type="character" w:customStyle="1" w:styleId="NormalTok">
    <w:name w:val="NormalTok"/>
    <w:basedOn w:val="VerbatimChar"/>
    <w:rPr>
      <w:rFonts w:ascii="Consolas" w:hAnsi="Consolas"/>
      <w:b/>
      <w:bCs/>
      <w:color w:val="B2B2B2" w:themeColor="accent2"/>
      <w:spacing w:val="10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j.com/content/bmj/349/bmj.g7647.full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86/2046-4053-4-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risma-statement.org/Extensions/Abstra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ystematicreviewsjournal.biomedcentral.com/articles/10.1186/2046-4053-4-1/tables/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Identify the report as a protocol of a systematic review (If the protocol is for an update of a previous systematic review, identify it as such)</dc:title>
  <dc:creator>Tanya Karrer</dc:creator>
  <cp:keywords/>
  <cp:lastModifiedBy>Tanya Karrer</cp:lastModifiedBy>
  <cp:revision>2</cp:revision>
  <dcterms:created xsi:type="dcterms:W3CDTF">2023-09-28T09:24:00Z</dcterms:created>
  <dcterms:modified xsi:type="dcterms:W3CDTF">2023-09-28T09:24:00Z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EqnLabels">
    <vt:lpwstr>False</vt:lpwstr>
  </property>
  <property fmtid="{D5CDD505-2E9C-101B-9397-08002B2CF9AE}" pid="3" name="autoSectionLabels">
    <vt:lpwstr>False</vt:lpwstr>
  </property>
  <property fmtid="{D5CDD505-2E9C-101B-9397-08002B2CF9AE}" pid="4" name="ccsDelim">
    <vt:lpwstr>, </vt:lpwstr>
  </property>
  <property fmtid="{D5CDD505-2E9C-101B-9397-08002B2CF9AE}" pid="5" name="ccsLabelSep">
    <vt:lpwstr> — </vt:lpwstr>
  </property>
  <property fmtid="{D5CDD505-2E9C-101B-9397-08002B2CF9AE}" pid="6" name="ccsTemplate">
    <vt:lpwstr>iccsLabelSept</vt:lpwstr>
  </property>
  <property fmtid="{D5CDD505-2E9C-101B-9397-08002B2CF9AE}" pid="7" name="chapDelim">
    <vt:lpwstr>.</vt:lpwstr>
  </property>
  <property fmtid="{D5CDD505-2E9C-101B-9397-08002B2CF9AE}" pid="8" name="chapters">
    <vt:lpwstr>True</vt:lpwstr>
  </property>
  <property fmtid="{D5CDD505-2E9C-101B-9397-08002B2CF9AE}" pid="9" name="chaptersDepth">
    <vt:lpwstr>1</vt:lpwstr>
  </property>
  <property fmtid="{D5CDD505-2E9C-101B-9397-08002B2CF9AE}" pid="10" name="codeBlockCaptions">
    <vt:lpwstr>False</vt:lpwstr>
  </property>
  <property fmtid="{D5CDD505-2E9C-101B-9397-08002B2CF9AE}" pid="11" name="cref">
    <vt:lpwstr>False</vt:lpwstr>
  </property>
  <property fmtid="{D5CDD505-2E9C-101B-9397-08002B2CF9AE}" pid="12" name="crossrefYaml">
    <vt:lpwstr>pandoc-crossref.yaml</vt:lpwstr>
  </property>
  <property fmtid="{D5CDD505-2E9C-101B-9397-08002B2CF9AE}" pid="13" name="csl">
    <vt:lpwstr>ieee</vt:lpwstr>
  </property>
  <property fmtid="{D5CDD505-2E9C-101B-9397-08002B2CF9AE}" pid="14" name="eqLabels">
    <vt:lpwstr>arabic</vt:lpwstr>
  </property>
  <property fmtid="{D5CDD505-2E9C-101B-9397-08002B2CF9AE}" pid="15" name="eqnBlockInlineMath">
    <vt:lpwstr>False</vt:lpwstr>
  </property>
  <property fmtid="{D5CDD505-2E9C-101B-9397-08002B2CF9AE}" pid="16" name="eqnBlockTemplate">
    <vt:lpwstr>ti</vt:lpwstr>
  </property>
  <property fmtid="{D5CDD505-2E9C-101B-9397-08002B2CF9AE}" pid="17" name="eqnIndexTemplate">
    <vt:lpwstr>(i)</vt:lpwstr>
  </property>
  <property fmtid="{D5CDD505-2E9C-101B-9397-08002B2CF9AE}" pid="18" name="eqnInlineTemplate">
    <vt:lpwstr>eequationNumberTeX{i}</vt:lpwstr>
  </property>
  <property fmtid="{D5CDD505-2E9C-101B-9397-08002B2CF9AE}" pid="19" name="eqnPrefix">
    <vt:lpwstr>eq.</vt:lpwstr>
  </property>
  <property fmtid="{D5CDD505-2E9C-101B-9397-08002B2CF9AE}" pid="20" name="eqnPrefixTemplate">
    <vt:lpwstr>p i</vt:lpwstr>
  </property>
  <property fmtid="{D5CDD505-2E9C-101B-9397-08002B2CF9AE}" pid="21" name="equationNumberTeX">
    <vt:lpwstr>\qquad</vt:lpwstr>
  </property>
  <property fmtid="{D5CDD505-2E9C-101B-9397-08002B2CF9AE}" pid="22" name="figLabels">
    <vt:lpwstr>arabic</vt:lpwstr>
  </property>
  <property fmtid="{D5CDD505-2E9C-101B-9397-08002B2CF9AE}" pid="23" name="figPrefix">
    <vt:lpwstr>fig.</vt:lpwstr>
  </property>
  <property fmtid="{D5CDD505-2E9C-101B-9397-08002B2CF9AE}" pid="24" name="figPrefixTemplate">
    <vt:lpwstr>p i</vt:lpwstr>
  </property>
  <property fmtid="{D5CDD505-2E9C-101B-9397-08002B2CF9AE}" pid="25" name="figureTemplate">
    <vt:lpwstr>figureTitle ititleDelim t</vt:lpwstr>
  </property>
  <property fmtid="{D5CDD505-2E9C-101B-9397-08002B2CF9AE}" pid="26" name="figureTitle">
    <vt:lpwstr>Figure</vt:lpwstr>
  </property>
  <property fmtid="{D5CDD505-2E9C-101B-9397-08002B2CF9AE}" pid="27" name="institute">
    <vt:lpwstr/>
  </property>
  <property fmtid="{D5CDD505-2E9C-101B-9397-08002B2CF9AE}" pid="28" name="lastDelim">
    <vt:lpwstr>, </vt:lpwstr>
  </property>
  <property fmtid="{D5CDD505-2E9C-101B-9397-08002B2CF9AE}" pid="29" name="link-citations">
    <vt:lpwstr>True</vt:lpwstr>
  </property>
  <property fmtid="{D5CDD505-2E9C-101B-9397-08002B2CF9AE}" pid="30" name="linkReferences">
    <vt:lpwstr>False</vt:lpwstr>
  </property>
  <property fmtid="{D5CDD505-2E9C-101B-9397-08002B2CF9AE}" pid="31" name="listItemTitleDelim">
    <vt:lpwstr>.</vt:lpwstr>
  </property>
  <property fmtid="{D5CDD505-2E9C-101B-9397-08002B2CF9AE}" pid="32" name="listingTemplate">
    <vt:lpwstr>listingTitle ititleDelim t</vt:lpwstr>
  </property>
  <property fmtid="{D5CDD505-2E9C-101B-9397-08002B2CF9AE}" pid="33" name="listingTitle">
    <vt:lpwstr>Listing</vt:lpwstr>
  </property>
  <property fmtid="{D5CDD505-2E9C-101B-9397-08002B2CF9AE}" pid="34" name="listings">
    <vt:lpwstr>False</vt:lpwstr>
  </property>
  <property fmtid="{D5CDD505-2E9C-101B-9397-08002B2CF9AE}" pid="35" name="lof">
    <vt:lpwstr>False</vt:lpwstr>
  </property>
  <property fmtid="{D5CDD505-2E9C-101B-9397-08002B2CF9AE}" pid="36" name="lofItemTemplate">
    <vt:lpwstr>lofItemTitleilistItemTitleDelimt </vt:lpwstr>
  </property>
  <property fmtid="{D5CDD505-2E9C-101B-9397-08002B2CF9AE}" pid="37" name="lofItemTitle">
    <vt:lpwstr/>
  </property>
  <property fmtid="{D5CDD505-2E9C-101B-9397-08002B2CF9AE}" pid="38" name="lofTitle">
    <vt:lpwstr>List of Figures</vt:lpwstr>
  </property>
  <property fmtid="{D5CDD505-2E9C-101B-9397-08002B2CF9AE}" pid="39" name="lolItemTemplate">
    <vt:lpwstr>lolItemTitleilistItemTitleDelimt </vt:lpwstr>
  </property>
  <property fmtid="{D5CDD505-2E9C-101B-9397-08002B2CF9AE}" pid="40" name="lolItemTitle">
    <vt:lpwstr/>
  </property>
  <property fmtid="{D5CDD505-2E9C-101B-9397-08002B2CF9AE}" pid="41" name="lolTitle">
    <vt:lpwstr>List of Listings</vt:lpwstr>
  </property>
  <property fmtid="{D5CDD505-2E9C-101B-9397-08002B2CF9AE}" pid="42" name="lot">
    <vt:lpwstr>False</vt:lpwstr>
  </property>
  <property fmtid="{D5CDD505-2E9C-101B-9397-08002B2CF9AE}" pid="43" name="lotItemTemplate">
    <vt:lpwstr>lotItemTitleilistItemTitleDelimt </vt:lpwstr>
  </property>
  <property fmtid="{D5CDD505-2E9C-101B-9397-08002B2CF9AE}" pid="44" name="lotItemTitle">
    <vt:lpwstr/>
  </property>
  <property fmtid="{D5CDD505-2E9C-101B-9397-08002B2CF9AE}" pid="45" name="lotTitle">
    <vt:lpwstr>List of Tables</vt:lpwstr>
  </property>
  <property fmtid="{D5CDD505-2E9C-101B-9397-08002B2CF9AE}" pid="46" name="lstLabels">
    <vt:lpwstr>arabic</vt:lpwstr>
  </property>
  <property fmtid="{D5CDD505-2E9C-101B-9397-08002B2CF9AE}" pid="47" name="lstPrefix">
    <vt:lpwstr/>
  </property>
  <property fmtid="{D5CDD505-2E9C-101B-9397-08002B2CF9AE}" pid="48" name="lstPrefixTemplate">
    <vt:lpwstr>p i</vt:lpwstr>
  </property>
  <property fmtid="{D5CDD505-2E9C-101B-9397-08002B2CF9AE}" pid="49" name="math">
    <vt:lpwstr>True</vt:lpwstr>
  </property>
  <property fmtid="{D5CDD505-2E9C-101B-9397-08002B2CF9AE}" pid="50" name="mathjax">
    <vt:lpwstr>True</vt:lpwstr>
  </property>
  <property fmtid="{D5CDD505-2E9C-101B-9397-08002B2CF9AE}" pid="51" name="nameInLink">
    <vt:lpwstr>False</vt:lpwstr>
  </property>
  <property fmtid="{D5CDD505-2E9C-101B-9397-08002B2CF9AE}" pid="52" name="numberSections">
    <vt:lpwstr>True</vt:lpwstr>
  </property>
  <property fmtid="{D5CDD505-2E9C-101B-9397-08002B2CF9AE}" pid="53" name="pairDelim">
    <vt:lpwstr>, </vt:lpwstr>
  </property>
  <property fmtid="{D5CDD505-2E9C-101B-9397-08002B2CF9AE}" pid="54" name="rangeDelim">
    <vt:lpwstr>-</vt:lpwstr>
  </property>
  <property fmtid="{D5CDD505-2E9C-101B-9397-08002B2CF9AE}" pid="55" name="refDelim">
    <vt:lpwstr>, </vt:lpwstr>
  </property>
  <property fmtid="{D5CDD505-2E9C-101B-9397-08002B2CF9AE}" pid="56" name="refIndexTemplate">
    <vt:lpwstr>isuf</vt:lpwstr>
  </property>
  <property fmtid="{D5CDD505-2E9C-101B-9397-08002B2CF9AE}" pid="57" name="secHeaderDelim">
    <vt:lpwstr> </vt:lpwstr>
  </property>
  <property fmtid="{D5CDD505-2E9C-101B-9397-08002B2CF9AE}" pid="58" name="secHeaderPrefix">
    <vt:lpwstr/>
  </property>
  <property fmtid="{D5CDD505-2E9C-101B-9397-08002B2CF9AE}" pid="59" name="secHeaderTemplate">
    <vt:lpwstr>secHeaderPrefix[n]i. t</vt:lpwstr>
  </property>
  <property fmtid="{D5CDD505-2E9C-101B-9397-08002B2CF9AE}" pid="60" name="secLabels">
    <vt:lpwstr>arabic</vt:lpwstr>
  </property>
  <property fmtid="{D5CDD505-2E9C-101B-9397-08002B2CF9AE}" pid="61" name="secPrefix">
    <vt:lpwstr/>
  </property>
  <property fmtid="{D5CDD505-2E9C-101B-9397-08002B2CF9AE}" pid="62" name="secPrefixTemplate">
    <vt:lpwstr>p i</vt:lpwstr>
  </property>
  <property fmtid="{D5CDD505-2E9C-101B-9397-08002B2CF9AE}" pid="63" name="sectionsDepth">
    <vt:lpwstr>4</vt:lpwstr>
  </property>
  <property fmtid="{D5CDD505-2E9C-101B-9397-08002B2CF9AE}" pid="64" name="subfigGrid">
    <vt:lpwstr>False</vt:lpwstr>
  </property>
  <property fmtid="{D5CDD505-2E9C-101B-9397-08002B2CF9AE}" pid="65" name="subfigLabels">
    <vt:lpwstr>alpha a</vt:lpwstr>
  </property>
  <property fmtid="{D5CDD505-2E9C-101B-9397-08002B2CF9AE}" pid="66" name="subfigureChildTemplate">
    <vt:lpwstr>i</vt:lpwstr>
  </property>
  <property fmtid="{D5CDD505-2E9C-101B-9397-08002B2CF9AE}" pid="67" name="subfigureRefIndexTemplate">
    <vt:lpwstr>isuf (s)</vt:lpwstr>
  </property>
  <property fmtid="{D5CDD505-2E9C-101B-9397-08002B2CF9AE}" pid="68" name="subfigureTemplate">
    <vt:lpwstr>figureTitle ititleDelim t. ccs</vt:lpwstr>
  </property>
  <property fmtid="{D5CDD505-2E9C-101B-9397-08002B2CF9AE}" pid="69" name="suppress-bibliography">
    <vt:lpwstr>False</vt:lpwstr>
  </property>
  <property fmtid="{D5CDD505-2E9C-101B-9397-08002B2CF9AE}" pid="70" name="tableEqns">
    <vt:lpwstr>False</vt:lpwstr>
  </property>
  <property fmtid="{D5CDD505-2E9C-101B-9397-08002B2CF9AE}" pid="71" name="tableTemplate">
    <vt:lpwstr>tableTitle ititleDelim t</vt:lpwstr>
  </property>
  <property fmtid="{D5CDD505-2E9C-101B-9397-08002B2CF9AE}" pid="72" name="tableTitle">
    <vt:lpwstr>Table</vt:lpwstr>
  </property>
  <property fmtid="{D5CDD505-2E9C-101B-9397-08002B2CF9AE}" pid="73" name="tblLabels">
    <vt:lpwstr>arabic</vt:lpwstr>
  </property>
  <property fmtid="{D5CDD505-2E9C-101B-9397-08002B2CF9AE}" pid="74" name="tblPrefix">
    <vt:lpwstr>tbl.</vt:lpwstr>
  </property>
  <property fmtid="{D5CDD505-2E9C-101B-9397-08002B2CF9AE}" pid="75" name="tblPrefixTemplate">
    <vt:lpwstr>p i</vt:lpwstr>
  </property>
  <property fmtid="{D5CDD505-2E9C-101B-9397-08002B2CF9AE}" pid="76" name="titleDelim">
    <vt:lpwstr>:</vt:lpwstr>
  </property>
</Properties>
</file>